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宋体" w:hAnsi="宋体" w:eastAsia="宋体" w:cs="宋体"/>
          <w:b/>
          <w:bCs/>
          <w:sz w:val="36"/>
          <w:szCs w:val="36"/>
        </w:rPr>
      </w:pPr>
      <w:r>
        <w:rPr>
          <w:rFonts w:hint="eastAsia" w:ascii="宋体" w:hAnsi="宋体" w:eastAsia="宋体" w:cs="宋体"/>
          <w:b/>
          <w:bCs/>
          <w:sz w:val="36"/>
          <w:szCs w:val="36"/>
        </w:rPr>
        <w:t>2018年度广东省科学技术奖公示表</w:t>
      </w:r>
    </w:p>
    <w:p>
      <w:pPr>
        <w:pStyle w:val="2"/>
        <w:rPr>
          <w:rFonts w:hint="eastAsia" w:ascii="宋体" w:hAnsi="宋体" w:eastAsia="宋体" w:cs="宋体"/>
          <w:b/>
          <w:bCs/>
          <w:sz w:val="36"/>
          <w:szCs w:val="36"/>
        </w:rPr>
      </w:pPr>
      <w:r>
        <w:rPr>
          <w:rFonts w:hint="eastAsia" w:ascii="宋体" w:hAnsi="宋体" w:eastAsia="宋体" w:cs="宋体"/>
          <w:b/>
          <w:bCs/>
          <w:sz w:val="36"/>
          <w:szCs w:val="36"/>
        </w:rPr>
        <w:t>（科技进步奖）</w:t>
      </w:r>
    </w:p>
    <w:p>
      <w:pPr>
        <w:rPr>
          <w:rFonts w:hint="eastAsia"/>
        </w:rPr>
      </w:pPr>
    </w:p>
    <w:tbl>
      <w:tblPr>
        <w:tblStyle w:val="6"/>
        <w:tblW w:w="9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Align w:val="center"/>
          </w:tcPr>
          <w:p>
            <w:pPr>
              <w:adjustRightInd w:val="0"/>
              <w:snapToGrid w:val="0"/>
              <w:jc w:val="center"/>
              <w:rPr>
                <w:rFonts w:hint="eastAsia" w:ascii="仿宋" w:hAnsi="仿宋" w:eastAsia="仿宋"/>
                <w:b/>
                <w:bCs/>
              </w:rPr>
            </w:pPr>
            <w:r>
              <w:rPr>
                <w:rFonts w:hint="eastAsia" w:ascii="仿宋" w:hAnsi="仿宋" w:eastAsia="仿宋"/>
                <w:b/>
                <w:bCs/>
              </w:rPr>
              <w:t>项目名称</w:t>
            </w:r>
          </w:p>
        </w:tc>
        <w:tc>
          <w:tcPr>
            <w:tcW w:w="7849" w:type="dxa"/>
            <w:vAlign w:val="center"/>
          </w:tcPr>
          <w:p>
            <w:pPr>
              <w:spacing w:line="360" w:lineRule="auto"/>
              <w:jc w:val="left"/>
              <w:rPr>
                <w:rFonts w:hint="eastAsia" w:ascii="仿宋" w:hAnsi="仿宋" w:eastAsia="仿宋"/>
                <w:b/>
                <w:bCs/>
              </w:rPr>
            </w:pPr>
            <w:bookmarkStart w:id="0" w:name="_GoBack"/>
            <w:r>
              <w:rPr>
                <w:rFonts w:hint="eastAsia" w:ascii="仿宋" w:hAnsi="仿宋" w:eastAsia="仿宋"/>
                <w:lang w:val="en-US" w:eastAsia="zh-CN"/>
              </w:rPr>
              <w:t>昆明山海棠不同配伍治疗类风湿关节炎增效减毒的基础和应用研究</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snapToGrid w:val="0"/>
              <w:jc w:val="center"/>
              <w:rPr>
                <w:rFonts w:hint="eastAsia" w:ascii="仿宋" w:hAnsi="仿宋" w:eastAsia="仿宋"/>
              </w:rPr>
            </w:pPr>
            <w:r>
              <w:rPr>
                <w:rFonts w:hint="eastAsia" w:ascii="仿宋" w:hAnsi="仿宋" w:eastAsia="仿宋"/>
                <w:b/>
                <w:bCs/>
              </w:rPr>
              <w:t>主要完成单位</w:t>
            </w:r>
          </w:p>
        </w:tc>
        <w:tc>
          <w:tcPr>
            <w:tcW w:w="7849" w:type="dxa"/>
            <w:vAlign w:val="center"/>
          </w:tcPr>
          <w:p>
            <w:pPr>
              <w:spacing w:line="360" w:lineRule="auto"/>
              <w:rPr>
                <w:rFonts w:hint="eastAsia" w:ascii="仿宋" w:hAnsi="仿宋" w:eastAsia="仿宋"/>
                <w:lang w:val="en-US" w:eastAsia="zh-CN"/>
              </w:rPr>
            </w:pPr>
            <w:r>
              <w:rPr>
                <w:rFonts w:hint="eastAsia" w:ascii="仿宋" w:hAnsi="仿宋" w:eastAsia="仿宋"/>
                <w:lang w:val="en-US" w:eastAsia="zh-CN"/>
              </w:rPr>
              <w:t>广州中医药大学第一附属医院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spacing w:line="360" w:lineRule="auto"/>
              <w:jc w:val="center"/>
              <w:rPr>
                <w:rFonts w:hint="eastAsia" w:ascii="仿宋" w:hAnsi="仿宋" w:eastAsia="仿宋"/>
                <w:b/>
                <w:bCs/>
              </w:rPr>
            </w:pPr>
          </w:p>
        </w:tc>
        <w:tc>
          <w:tcPr>
            <w:tcW w:w="7849" w:type="dxa"/>
            <w:vAlign w:val="center"/>
          </w:tcPr>
          <w:p>
            <w:pPr>
              <w:spacing w:line="360" w:lineRule="auto"/>
              <w:rPr>
                <w:rFonts w:hint="eastAsia" w:ascii="仿宋" w:hAnsi="仿宋" w:eastAsia="仿宋" w:cs="宋体"/>
                <w:lang w:val="en-US" w:eastAsia="zh-CN"/>
              </w:rPr>
            </w:pPr>
            <w:r>
              <w:rPr>
                <w:rFonts w:hint="eastAsia" w:ascii="仿宋" w:hAnsi="仿宋" w:eastAsia="仿宋" w:cs="宋体"/>
                <w:lang w:val="en-US" w:eastAsia="zh-CN"/>
              </w:rPr>
              <w:t>中山大学附属第一医院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spacing w:line="360" w:lineRule="auto"/>
              <w:jc w:val="center"/>
              <w:rPr>
                <w:rFonts w:hint="eastAsia" w:ascii="仿宋" w:hAnsi="仿宋" w:eastAsia="仿宋"/>
                <w:b/>
                <w:bCs/>
              </w:rPr>
            </w:pPr>
          </w:p>
        </w:tc>
        <w:tc>
          <w:tcPr>
            <w:tcW w:w="7849" w:type="dxa"/>
            <w:vAlign w:val="center"/>
          </w:tcPr>
          <w:p>
            <w:pPr>
              <w:spacing w:line="360" w:lineRule="auto"/>
              <w:jc w:val="left"/>
              <w:rPr>
                <w:rFonts w:hint="eastAsia"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hint="eastAsia" w:ascii="仿宋" w:hAnsi="仿宋" w:eastAsia="仿宋"/>
                <w:b/>
                <w:bCs/>
              </w:rPr>
            </w:pPr>
            <w:r>
              <w:rPr>
                <w:rFonts w:hint="eastAsia" w:ascii="仿宋" w:hAnsi="仿宋" w:eastAsia="仿宋"/>
                <w:b/>
                <w:bCs/>
              </w:rPr>
              <w:t>主要完成人</w:t>
            </w:r>
          </w:p>
          <w:p>
            <w:pPr>
              <w:adjustRightInd w:val="0"/>
              <w:snapToGrid w:val="0"/>
              <w:jc w:val="center"/>
              <w:rPr>
                <w:rFonts w:hint="eastAsia" w:ascii="仿宋" w:hAnsi="仿宋" w:eastAsia="仿宋"/>
              </w:rPr>
            </w:pPr>
            <w:r>
              <w:rPr>
                <w:rFonts w:hint="eastAsia" w:ascii="仿宋" w:hAnsi="仿宋" w:eastAsia="仿宋"/>
                <w:b/>
                <w:bCs/>
              </w:rPr>
              <w:t>（职称、完成单位、工作单位）</w:t>
            </w:r>
          </w:p>
        </w:tc>
        <w:tc>
          <w:tcPr>
            <w:tcW w:w="7849" w:type="dxa"/>
            <w:vAlign w:val="center"/>
          </w:tcPr>
          <w:p>
            <w:pPr>
              <w:adjustRightInd w:val="0"/>
              <w:snapToGrid w:val="0"/>
              <w:rPr>
                <w:rFonts w:hint="eastAsia" w:ascii="仿宋" w:hAnsi="仿宋" w:eastAsia="仿宋"/>
              </w:rPr>
            </w:pPr>
            <w:r>
              <w:rPr>
                <w:rFonts w:hint="eastAsia" w:ascii="仿宋" w:hAnsi="仿宋" w:eastAsia="仿宋"/>
              </w:rPr>
              <w:t>1.</w:t>
            </w:r>
            <w:r>
              <w:rPr>
                <w:rFonts w:hint="eastAsia" w:ascii="仿宋" w:hAnsi="仿宋" w:eastAsia="仿宋"/>
                <w:lang w:eastAsia="zh-CN"/>
              </w:rPr>
              <w:t>林昌松</w:t>
            </w:r>
            <w:r>
              <w:rPr>
                <w:rFonts w:hint="eastAsia" w:ascii="仿宋" w:hAnsi="仿宋" w:eastAsia="仿宋"/>
              </w:rPr>
              <w:t>（</w:t>
            </w:r>
            <w:r>
              <w:rPr>
                <w:rFonts w:hint="eastAsia" w:ascii="仿宋" w:hAnsi="仿宋" w:eastAsia="仿宋"/>
                <w:lang w:eastAsia="zh-CN"/>
              </w:rPr>
              <w:t>教授</w:t>
            </w:r>
            <w:r>
              <w:rPr>
                <w:rFonts w:hint="eastAsia" w:ascii="仿宋" w:hAnsi="仿宋" w:eastAsia="仿宋"/>
              </w:rPr>
              <w:t>、</w:t>
            </w:r>
            <w:r>
              <w:rPr>
                <w:rFonts w:hint="eastAsia" w:ascii="仿宋" w:hAnsi="仿宋" w:eastAsia="仿宋"/>
                <w:lang w:eastAsia="zh-CN"/>
              </w:rPr>
              <w:t>工作单位：广州中医药大学第一附属医院</w:t>
            </w:r>
            <w:r>
              <w:rPr>
                <w:rFonts w:hint="eastAsia" w:ascii="仿宋" w:hAnsi="仿宋" w:eastAsia="仿宋"/>
              </w:rPr>
              <w:t>、</w:t>
            </w:r>
            <w:r>
              <w:rPr>
                <w:rFonts w:hint="eastAsia" w:ascii="仿宋" w:hAnsi="仿宋" w:eastAsia="仿宋"/>
                <w:lang w:eastAsia="zh-CN"/>
              </w:rPr>
              <w:t>完成单位：广州中医药大学第一附属医院、</w:t>
            </w:r>
            <w:r>
              <w:rPr>
                <w:rFonts w:hint="eastAsia" w:ascii="仿宋" w:hAnsi="仿宋" w:eastAsia="仿宋"/>
              </w:rPr>
              <w:t>主要贡献</w:t>
            </w:r>
            <w:r>
              <w:rPr>
                <w:rFonts w:hint="eastAsia" w:ascii="仿宋" w:hAnsi="仿宋" w:eastAsia="仿宋"/>
                <w:lang w:eastAsia="zh-CN"/>
              </w:rPr>
              <w:t>：林昌松教授为本项目研究的总指导，带领课题组进行课题设计，对实验方法进行指导，并及时做出方案调整，保障了项目的顺利完成，完成资助课题的结题，指导论文书写等，为第1、2、7、9、10篇代表性论文的通讯作者。</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rPr>
                <w:rFonts w:hint="eastAsia" w:ascii="仿宋" w:hAnsi="仿宋" w:eastAsia="仿宋"/>
              </w:rPr>
            </w:pPr>
            <w:r>
              <w:rPr>
                <w:rFonts w:hint="eastAsia" w:ascii="仿宋" w:hAnsi="仿宋" w:eastAsia="仿宋"/>
              </w:rPr>
              <w:t>2.</w:t>
            </w:r>
            <w:r>
              <w:rPr>
                <w:rFonts w:hint="eastAsia" w:ascii="仿宋" w:hAnsi="仿宋" w:eastAsia="仿宋"/>
                <w:lang w:eastAsia="zh-CN"/>
              </w:rPr>
              <w:t>刘清平</w:t>
            </w:r>
            <w:r>
              <w:rPr>
                <w:rFonts w:hint="eastAsia" w:ascii="仿宋" w:hAnsi="仿宋" w:eastAsia="仿宋"/>
              </w:rPr>
              <w:t>（</w:t>
            </w:r>
            <w:r>
              <w:rPr>
                <w:rFonts w:hint="eastAsia" w:ascii="仿宋" w:hAnsi="仿宋" w:eastAsia="仿宋"/>
                <w:lang w:eastAsia="zh-CN"/>
              </w:rPr>
              <w:t>主任医师</w:t>
            </w:r>
            <w:r>
              <w:rPr>
                <w:rFonts w:hint="eastAsia" w:ascii="仿宋" w:hAnsi="仿宋" w:eastAsia="仿宋"/>
              </w:rPr>
              <w:t>、</w:t>
            </w:r>
            <w:r>
              <w:rPr>
                <w:rFonts w:hint="eastAsia" w:ascii="仿宋" w:hAnsi="仿宋" w:eastAsia="仿宋"/>
                <w:lang w:eastAsia="zh-CN"/>
              </w:rPr>
              <w:t>工作单位：广州中医药大学第一附属医院</w:t>
            </w:r>
            <w:r>
              <w:rPr>
                <w:rFonts w:hint="eastAsia" w:ascii="仿宋" w:hAnsi="仿宋" w:eastAsia="仿宋"/>
              </w:rPr>
              <w:t>、</w:t>
            </w:r>
            <w:r>
              <w:rPr>
                <w:rFonts w:hint="eastAsia" w:ascii="仿宋" w:hAnsi="仿宋" w:eastAsia="仿宋"/>
                <w:lang w:eastAsia="zh-CN"/>
              </w:rPr>
              <w:t>完成单位：广州中医药大学第一附属医院、</w:t>
            </w:r>
            <w:r>
              <w:rPr>
                <w:rFonts w:hint="eastAsia" w:ascii="仿宋" w:hAnsi="仿宋" w:eastAsia="仿宋"/>
              </w:rPr>
              <w:t>主要贡献</w:t>
            </w:r>
            <w:r>
              <w:rPr>
                <w:rFonts w:hint="eastAsia" w:ascii="仿宋" w:hAnsi="仿宋" w:eastAsia="仿宋"/>
                <w:lang w:eastAsia="zh-CN"/>
              </w:rPr>
              <w:t>：全程参与本项目的实施，主要研究昆明山海棠进行复方配伍的减毒机制，断藤益母汤能减轻昆明山海棠生殖毒性，保护卵巢功能，参与构建类风湿关节炎大鼠模型，完成课题数据整理及论文书写，为第4、8篇论文的第一作者。</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rPr>
            </w:pPr>
            <w:r>
              <w:rPr>
                <w:rFonts w:hint="eastAsia" w:ascii="仿宋" w:hAnsi="仿宋" w:eastAsia="仿宋"/>
              </w:rPr>
              <w:t>3.</w:t>
            </w:r>
            <w:r>
              <w:rPr>
                <w:rFonts w:hint="eastAsia" w:ascii="仿宋" w:hAnsi="仿宋" w:eastAsia="仿宋"/>
                <w:lang w:eastAsia="zh-CN"/>
              </w:rPr>
              <w:t>徐强</w:t>
            </w:r>
            <w:r>
              <w:rPr>
                <w:rFonts w:hint="eastAsia" w:ascii="仿宋" w:hAnsi="仿宋" w:eastAsia="仿宋"/>
              </w:rPr>
              <w:t>（</w:t>
            </w:r>
            <w:r>
              <w:rPr>
                <w:rFonts w:hint="eastAsia" w:ascii="仿宋" w:hAnsi="仿宋" w:eastAsia="仿宋"/>
                <w:lang w:eastAsia="zh-CN"/>
              </w:rPr>
              <w:t>主治医师</w:t>
            </w:r>
            <w:r>
              <w:rPr>
                <w:rFonts w:hint="eastAsia" w:ascii="仿宋" w:hAnsi="仿宋" w:eastAsia="仿宋"/>
              </w:rPr>
              <w:t>、</w:t>
            </w:r>
            <w:r>
              <w:rPr>
                <w:rFonts w:hint="eastAsia" w:ascii="仿宋" w:hAnsi="仿宋" w:eastAsia="仿宋"/>
                <w:lang w:eastAsia="zh-CN"/>
              </w:rPr>
              <w:t>工作单位：广州中医药大学第一附属医院</w:t>
            </w:r>
            <w:r>
              <w:rPr>
                <w:rFonts w:hint="eastAsia" w:ascii="仿宋" w:hAnsi="仿宋" w:eastAsia="仿宋"/>
              </w:rPr>
              <w:t>、</w:t>
            </w:r>
            <w:r>
              <w:rPr>
                <w:rFonts w:hint="eastAsia" w:ascii="仿宋" w:hAnsi="仿宋" w:eastAsia="仿宋"/>
                <w:lang w:eastAsia="zh-CN"/>
              </w:rPr>
              <w:t>完成单位：广州中医药大学第一附属医院、</w:t>
            </w:r>
            <w:r>
              <w:rPr>
                <w:rFonts w:hint="eastAsia" w:ascii="仿宋" w:hAnsi="仿宋" w:eastAsia="仿宋"/>
              </w:rPr>
              <w:t>主要贡献</w:t>
            </w:r>
            <w:r>
              <w:rPr>
                <w:rFonts w:hint="eastAsia" w:ascii="仿宋" w:hAnsi="仿宋" w:eastAsia="仿宋"/>
                <w:lang w:eastAsia="zh-CN"/>
              </w:rPr>
              <w:t>：参与课题设计，参与CIA动物模型的构建，协助益母草碱对类风湿关节炎成纤维样滑膜细胞的细胞实验研究，为第5、6篇论文的通讯作者。</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lang w:eastAsia="zh-CN"/>
              </w:rPr>
            </w:pPr>
            <w:r>
              <w:rPr>
                <w:rFonts w:hint="eastAsia" w:ascii="仿宋" w:hAnsi="仿宋" w:eastAsia="仿宋" w:cs="宋体"/>
                <w:lang w:val="en-US" w:eastAsia="zh-CN"/>
              </w:rPr>
              <w:t>4.</w:t>
            </w:r>
            <w:r>
              <w:rPr>
                <w:rFonts w:hint="eastAsia" w:ascii="仿宋" w:hAnsi="仿宋" w:eastAsia="仿宋" w:cs="宋体"/>
                <w:lang w:eastAsia="zh-CN"/>
              </w:rPr>
              <w:t>关彤</w:t>
            </w:r>
            <w:r>
              <w:rPr>
                <w:rFonts w:hint="eastAsia" w:ascii="仿宋" w:hAnsi="仿宋" w:eastAsia="仿宋"/>
              </w:rPr>
              <w:t>（</w:t>
            </w:r>
            <w:r>
              <w:rPr>
                <w:rFonts w:hint="eastAsia" w:ascii="仿宋" w:hAnsi="仿宋" w:eastAsia="仿宋"/>
                <w:lang w:eastAsia="zh-CN"/>
              </w:rPr>
              <w:t>主任医师</w:t>
            </w:r>
            <w:r>
              <w:rPr>
                <w:rFonts w:hint="eastAsia" w:ascii="仿宋" w:hAnsi="仿宋" w:eastAsia="仿宋"/>
              </w:rPr>
              <w:t>、</w:t>
            </w:r>
            <w:r>
              <w:rPr>
                <w:rFonts w:hint="eastAsia" w:ascii="仿宋" w:hAnsi="仿宋" w:eastAsia="仿宋"/>
                <w:lang w:eastAsia="zh-CN"/>
              </w:rPr>
              <w:t>工作单位：广州中医药大学第一附属医院</w:t>
            </w:r>
            <w:r>
              <w:rPr>
                <w:rFonts w:hint="eastAsia" w:ascii="仿宋" w:hAnsi="仿宋" w:eastAsia="仿宋"/>
              </w:rPr>
              <w:t>、</w:t>
            </w:r>
            <w:r>
              <w:rPr>
                <w:rFonts w:hint="eastAsia" w:ascii="仿宋" w:hAnsi="仿宋" w:eastAsia="仿宋"/>
                <w:lang w:eastAsia="zh-CN"/>
              </w:rPr>
              <w:t>完成单位：广州中医药大学第一附属医院、</w:t>
            </w:r>
            <w:r>
              <w:rPr>
                <w:rFonts w:hint="eastAsia" w:ascii="仿宋" w:hAnsi="仿宋" w:eastAsia="仿宋"/>
              </w:rPr>
              <w:t>主要贡献</w:t>
            </w:r>
            <w:r>
              <w:rPr>
                <w:rFonts w:hint="eastAsia" w:ascii="仿宋" w:hAnsi="仿宋" w:eastAsia="仿宋"/>
                <w:lang w:eastAsia="zh-CN"/>
              </w:rPr>
              <w:t>：全程参与本项目研究，主要参与昆明山海棠相关复方对CIA大鼠减轻炎性指标、减少骨破坏及减轻生殖毒性的研究，为相关资助课题的主要完成人。</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宋体"/>
                <w:lang w:val="en-US" w:eastAsia="zh-CN"/>
              </w:rPr>
            </w:pPr>
            <w:r>
              <w:rPr>
                <w:rFonts w:hint="eastAsia" w:ascii="仿宋" w:hAnsi="仿宋" w:eastAsia="仿宋" w:cs="宋体"/>
                <w:lang w:val="en-US" w:eastAsia="zh-CN"/>
              </w:rPr>
              <w:t>5.陈纪藩</w:t>
            </w:r>
            <w:r>
              <w:rPr>
                <w:rFonts w:hint="eastAsia" w:ascii="仿宋" w:hAnsi="仿宋" w:eastAsia="仿宋"/>
              </w:rPr>
              <w:t>（</w:t>
            </w:r>
            <w:r>
              <w:rPr>
                <w:rFonts w:hint="eastAsia" w:ascii="仿宋" w:hAnsi="仿宋" w:eastAsia="仿宋"/>
                <w:lang w:eastAsia="zh-CN"/>
              </w:rPr>
              <w:t>主任医师</w:t>
            </w:r>
            <w:r>
              <w:rPr>
                <w:rFonts w:hint="eastAsia" w:ascii="仿宋" w:hAnsi="仿宋" w:eastAsia="仿宋"/>
              </w:rPr>
              <w:t>、</w:t>
            </w:r>
            <w:r>
              <w:rPr>
                <w:rFonts w:hint="eastAsia" w:ascii="仿宋" w:hAnsi="仿宋" w:eastAsia="仿宋"/>
                <w:lang w:eastAsia="zh-CN"/>
              </w:rPr>
              <w:t>工作单位：广州中医药大学第一附属医院</w:t>
            </w:r>
            <w:r>
              <w:rPr>
                <w:rFonts w:hint="eastAsia" w:ascii="仿宋" w:hAnsi="仿宋" w:eastAsia="仿宋"/>
              </w:rPr>
              <w:t>、</w:t>
            </w:r>
            <w:r>
              <w:rPr>
                <w:rFonts w:hint="eastAsia" w:ascii="仿宋" w:hAnsi="仿宋" w:eastAsia="仿宋"/>
                <w:lang w:eastAsia="zh-CN"/>
              </w:rPr>
              <w:t>完成单位：广州中医药大学第一附属医院、</w:t>
            </w:r>
            <w:r>
              <w:rPr>
                <w:rFonts w:hint="eastAsia" w:ascii="仿宋" w:hAnsi="仿宋" w:eastAsia="仿宋"/>
              </w:rPr>
              <w:t>主要贡献</w:t>
            </w:r>
            <w:r>
              <w:rPr>
                <w:rFonts w:hint="eastAsia" w:ascii="仿宋" w:hAnsi="仿宋" w:eastAsia="仿宋"/>
                <w:lang w:eastAsia="zh-CN"/>
              </w:rPr>
              <w:t>：陈纪藩教授全程参与本研究的指导工作，为本项目开展的总顾问，为本项目的设计提供思路，并在临床验证昆明山海棠相关复方对类风湿关节炎的治疗效果。</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宋体"/>
                <w:lang w:val="en-US" w:eastAsia="zh-CN"/>
              </w:rPr>
            </w:pPr>
            <w:r>
              <w:rPr>
                <w:rFonts w:hint="eastAsia" w:ascii="仿宋" w:hAnsi="仿宋" w:eastAsia="仿宋" w:cs="宋体"/>
                <w:lang w:val="en-US" w:eastAsia="zh-CN"/>
              </w:rPr>
              <w:t>6.许韩师</w:t>
            </w:r>
            <w:r>
              <w:rPr>
                <w:rFonts w:hint="eastAsia" w:ascii="仿宋" w:hAnsi="仿宋" w:eastAsia="仿宋"/>
              </w:rPr>
              <w:t>（</w:t>
            </w:r>
            <w:r>
              <w:rPr>
                <w:rFonts w:hint="eastAsia" w:ascii="仿宋" w:hAnsi="仿宋" w:eastAsia="仿宋"/>
                <w:lang w:eastAsia="zh-CN"/>
              </w:rPr>
              <w:t>主任医师</w:t>
            </w:r>
            <w:r>
              <w:rPr>
                <w:rFonts w:hint="eastAsia" w:ascii="仿宋" w:hAnsi="仿宋" w:eastAsia="仿宋"/>
              </w:rPr>
              <w:t>、</w:t>
            </w:r>
            <w:r>
              <w:rPr>
                <w:rFonts w:hint="eastAsia" w:ascii="仿宋" w:hAnsi="仿宋" w:eastAsia="仿宋"/>
                <w:lang w:eastAsia="zh-CN"/>
              </w:rPr>
              <w:t>工作单位：中山大学附属第一医院</w:t>
            </w:r>
            <w:r>
              <w:rPr>
                <w:rFonts w:hint="eastAsia" w:ascii="仿宋" w:hAnsi="仿宋" w:eastAsia="仿宋"/>
              </w:rPr>
              <w:t>、</w:t>
            </w:r>
            <w:r>
              <w:rPr>
                <w:rFonts w:hint="eastAsia" w:ascii="仿宋" w:hAnsi="仿宋" w:eastAsia="仿宋"/>
                <w:lang w:eastAsia="zh-CN"/>
              </w:rPr>
              <w:t>完成单位：中山大学附属第一医院、</w:t>
            </w:r>
            <w:r>
              <w:rPr>
                <w:rFonts w:hint="eastAsia" w:ascii="仿宋" w:hAnsi="仿宋" w:eastAsia="仿宋"/>
              </w:rPr>
              <w:t>主要贡献</w:t>
            </w:r>
            <w:r>
              <w:rPr>
                <w:rFonts w:hint="eastAsia" w:ascii="仿宋" w:hAnsi="仿宋" w:eastAsia="仿宋"/>
                <w:lang w:eastAsia="zh-CN"/>
              </w:rPr>
              <w:t>：主要指导雷公藤甲素的相关研究，研究雷公藤甲素对CIA小鼠的临床关节炎状况和关节破坏的影响，研究雷公藤甲素阻断JNK MAPK通路的激活对RA FLS的迁移和侵袭能力的影响，并指导益母草碱的相关研究，为第3篇论文的通讯作者。</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宋体"/>
                <w:lang w:val="en-US" w:eastAsia="zh-CN"/>
              </w:rPr>
            </w:pPr>
            <w:r>
              <w:rPr>
                <w:rFonts w:hint="eastAsia" w:ascii="仿宋" w:hAnsi="仿宋" w:eastAsia="仿宋" w:cs="宋体"/>
                <w:lang w:val="en-US" w:eastAsia="zh-CN"/>
              </w:rPr>
              <w:t>7.雷旭杰</w:t>
            </w:r>
            <w:r>
              <w:rPr>
                <w:rFonts w:hint="eastAsia" w:ascii="仿宋" w:hAnsi="仿宋" w:eastAsia="仿宋"/>
              </w:rPr>
              <w:t>（</w:t>
            </w:r>
            <w:r>
              <w:rPr>
                <w:rFonts w:hint="eastAsia" w:ascii="仿宋" w:hAnsi="仿宋" w:eastAsia="仿宋"/>
                <w:lang w:eastAsia="zh-CN"/>
              </w:rPr>
              <w:t>副主任医师</w:t>
            </w:r>
            <w:r>
              <w:rPr>
                <w:rFonts w:hint="eastAsia" w:ascii="仿宋" w:hAnsi="仿宋" w:eastAsia="仿宋"/>
              </w:rPr>
              <w:t>、</w:t>
            </w:r>
            <w:r>
              <w:rPr>
                <w:rFonts w:hint="eastAsia" w:ascii="仿宋" w:hAnsi="仿宋" w:eastAsia="仿宋"/>
                <w:lang w:eastAsia="zh-CN"/>
              </w:rPr>
              <w:t>工作单位：广州中医药大学第一附属医院</w:t>
            </w:r>
            <w:r>
              <w:rPr>
                <w:rFonts w:hint="eastAsia" w:ascii="仿宋" w:hAnsi="仿宋" w:eastAsia="仿宋"/>
              </w:rPr>
              <w:t>、</w:t>
            </w:r>
            <w:r>
              <w:rPr>
                <w:rFonts w:hint="eastAsia" w:ascii="仿宋" w:hAnsi="仿宋" w:eastAsia="仿宋"/>
                <w:lang w:eastAsia="zh-CN"/>
              </w:rPr>
              <w:t>完成单位：广州中医药大学第一附属医院、</w:t>
            </w:r>
            <w:r>
              <w:rPr>
                <w:rFonts w:hint="eastAsia" w:ascii="仿宋" w:hAnsi="仿宋" w:eastAsia="仿宋"/>
              </w:rPr>
              <w:t>主要贡献</w:t>
            </w:r>
            <w:r>
              <w:rPr>
                <w:rFonts w:hint="eastAsia" w:ascii="仿宋" w:hAnsi="仿宋" w:eastAsia="仿宋"/>
                <w:lang w:eastAsia="zh-CN"/>
              </w:rPr>
              <w:t>：参与研究断藤益母汤对佐剂性关节炎大鼠骨破坏的影响，协助完成山奈酚对CIA小鼠治疗作用的研究。</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宋体"/>
                <w:lang w:val="en-US" w:eastAsia="zh-CN"/>
              </w:rPr>
            </w:pPr>
            <w:r>
              <w:rPr>
                <w:rFonts w:hint="eastAsia" w:ascii="仿宋" w:hAnsi="仿宋" w:eastAsia="仿宋" w:cs="宋体"/>
                <w:lang w:val="en-US" w:eastAsia="zh-CN"/>
              </w:rPr>
              <w:t>8.李楠</w:t>
            </w:r>
            <w:r>
              <w:rPr>
                <w:rFonts w:hint="eastAsia" w:ascii="仿宋" w:hAnsi="仿宋" w:eastAsia="仿宋"/>
              </w:rPr>
              <w:t>（</w:t>
            </w:r>
            <w:r>
              <w:rPr>
                <w:rFonts w:hint="eastAsia" w:ascii="仿宋" w:hAnsi="仿宋" w:eastAsia="仿宋"/>
                <w:lang w:eastAsia="zh-CN"/>
              </w:rPr>
              <w:t>教师</w:t>
            </w:r>
            <w:r>
              <w:rPr>
                <w:rFonts w:hint="eastAsia" w:ascii="仿宋" w:hAnsi="仿宋" w:eastAsia="仿宋"/>
              </w:rPr>
              <w:t>、</w:t>
            </w:r>
            <w:r>
              <w:rPr>
                <w:rFonts w:hint="eastAsia" w:ascii="仿宋" w:hAnsi="仿宋" w:eastAsia="仿宋"/>
                <w:lang w:eastAsia="zh-CN"/>
              </w:rPr>
              <w:t>工作单位：暨南大学</w:t>
            </w:r>
            <w:r>
              <w:rPr>
                <w:rFonts w:hint="eastAsia" w:ascii="仿宋" w:hAnsi="仿宋" w:eastAsia="仿宋"/>
              </w:rPr>
              <w:t>、</w:t>
            </w:r>
            <w:r>
              <w:rPr>
                <w:rFonts w:hint="eastAsia" w:ascii="仿宋" w:hAnsi="仿宋" w:eastAsia="仿宋"/>
                <w:lang w:eastAsia="zh-CN"/>
              </w:rPr>
              <w:t>完成单位：广州中医药大学第一附属医院、</w:t>
            </w:r>
            <w:r>
              <w:rPr>
                <w:rFonts w:hint="eastAsia" w:ascii="仿宋" w:hAnsi="仿宋" w:eastAsia="仿宋"/>
              </w:rPr>
              <w:t>主要贡献</w:t>
            </w:r>
            <w:r>
              <w:rPr>
                <w:rFonts w:hint="eastAsia" w:ascii="仿宋" w:hAnsi="仿宋" w:eastAsia="仿宋"/>
                <w:lang w:eastAsia="zh-CN"/>
              </w:rPr>
              <w:t>：主要参与益母草碱对RA的治疗作用的动物实验及细胞实验研究，完成数据资料的整理及论文发表，为第1篇论文的第一作者。</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宋体"/>
                <w:lang w:val="en-US" w:eastAsia="zh-CN"/>
              </w:rPr>
            </w:pPr>
            <w:r>
              <w:rPr>
                <w:rFonts w:hint="eastAsia" w:ascii="仿宋" w:hAnsi="仿宋" w:eastAsia="仿宋" w:cs="宋体"/>
                <w:lang w:val="en-US" w:eastAsia="zh-CN"/>
              </w:rPr>
              <w:t>9.潘东梅（教师、</w:t>
            </w:r>
            <w:r>
              <w:rPr>
                <w:rFonts w:hint="eastAsia" w:ascii="仿宋" w:hAnsi="仿宋" w:eastAsia="仿宋"/>
                <w:lang w:eastAsia="zh-CN"/>
              </w:rPr>
              <w:t>工作单位：广东药科大学</w:t>
            </w:r>
            <w:r>
              <w:rPr>
                <w:rFonts w:hint="eastAsia" w:ascii="仿宋" w:hAnsi="仿宋" w:eastAsia="仿宋"/>
              </w:rPr>
              <w:t>、</w:t>
            </w:r>
            <w:r>
              <w:rPr>
                <w:rFonts w:hint="eastAsia" w:ascii="仿宋" w:hAnsi="仿宋" w:eastAsia="仿宋"/>
                <w:lang w:eastAsia="zh-CN"/>
              </w:rPr>
              <w:t>完成单位：广州中医药大学第一附属医院、</w:t>
            </w:r>
            <w:r>
              <w:rPr>
                <w:rFonts w:hint="eastAsia" w:ascii="仿宋" w:hAnsi="仿宋" w:eastAsia="仿宋"/>
              </w:rPr>
              <w:t>主要贡献</w:t>
            </w:r>
            <w:r>
              <w:rPr>
                <w:rFonts w:hint="eastAsia" w:ascii="仿宋" w:hAnsi="仿宋" w:eastAsia="仿宋"/>
                <w:lang w:eastAsia="zh-CN"/>
              </w:rPr>
              <w:t>：参与项目研究，主要研究山奈酚对CIA模型小鼠的抗炎及骨保护机制及山奈酚对RA FLS的迁移和侵袭的影响，为第2篇论文的第一作者。</w:t>
            </w:r>
            <w:r>
              <w:rPr>
                <w:rFonts w:hint="eastAsia" w:ascii="仿宋" w:hAnsi="仿宋" w:eastAsia="仿宋" w:cs="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宋体"/>
                <w:lang w:val="en-US" w:eastAsia="zh-CN"/>
              </w:rPr>
            </w:pPr>
            <w:r>
              <w:rPr>
                <w:rFonts w:hint="eastAsia" w:ascii="仿宋" w:hAnsi="仿宋" w:eastAsia="仿宋" w:cs="宋体"/>
                <w:lang w:val="en-US" w:eastAsia="zh-CN"/>
              </w:rPr>
              <w:t>10.刘敏莹</w:t>
            </w:r>
            <w:r>
              <w:rPr>
                <w:rFonts w:hint="eastAsia" w:ascii="仿宋" w:hAnsi="仿宋" w:eastAsia="仿宋"/>
              </w:rPr>
              <w:t>（</w:t>
            </w:r>
            <w:r>
              <w:rPr>
                <w:rFonts w:hint="eastAsia" w:ascii="仿宋" w:hAnsi="仿宋" w:eastAsia="仿宋"/>
                <w:lang w:eastAsia="zh-CN"/>
              </w:rPr>
              <w:t>医师</w:t>
            </w:r>
            <w:r>
              <w:rPr>
                <w:rFonts w:hint="eastAsia" w:ascii="仿宋" w:hAnsi="仿宋" w:eastAsia="仿宋"/>
              </w:rPr>
              <w:t>、</w:t>
            </w:r>
            <w:r>
              <w:rPr>
                <w:rFonts w:hint="eastAsia" w:ascii="仿宋" w:hAnsi="仿宋" w:eastAsia="仿宋"/>
                <w:lang w:eastAsia="zh-CN"/>
              </w:rPr>
              <w:t>工作单位：广州中医药大学第一附属医院</w:t>
            </w:r>
            <w:r>
              <w:rPr>
                <w:rFonts w:hint="eastAsia" w:ascii="仿宋" w:hAnsi="仿宋" w:eastAsia="仿宋"/>
              </w:rPr>
              <w:t>、</w:t>
            </w:r>
            <w:r>
              <w:rPr>
                <w:rFonts w:hint="eastAsia" w:ascii="仿宋" w:hAnsi="仿宋" w:eastAsia="仿宋"/>
                <w:lang w:eastAsia="zh-CN"/>
              </w:rPr>
              <w:t>完成单位：广州中医药大学第一附属医院、</w:t>
            </w:r>
            <w:r>
              <w:rPr>
                <w:rFonts w:hint="eastAsia" w:ascii="仿宋" w:hAnsi="仿宋" w:eastAsia="仿宋"/>
              </w:rPr>
              <w:t>主要贡献</w:t>
            </w:r>
            <w:r>
              <w:rPr>
                <w:rFonts w:hint="eastAsia" w:ascii="仿宋" w:hAnsi="仿宋" w:eastAsia="仿宋"/>
                <w:lang w:eastAsia="zh-CN"/>
              </w:rPr>
              <w:t>：协助完成中药单体益母草碱及山奈酚对CIA小鼠模型的治疗作用的研究，统计相关数据，参与相关论文的数据整理。</w:t>
            </w:r>
            <w:r>
              <w:rPr>
                <w:rFonts w:hint="eastAsia" w:ascii="仿宋" w:hAnsi="仿宋" w:eastAsia="仿宋"/>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1" w:hRule="atLeast"/>
          <w:jc w:val="center"/>
        </w:trPr>
        <w:tc>
          <w:tcPr>
            <w:tcW w:w="1615" w:type="dxa"/>
            <w:vAlign w:val="center"/>
          </w:tcPr>
          <w:p>
            <w:pPr>
              <w:adjustRightInd w:val="0"/>
              <w:snapToGrid w:val="0"/>
              <w:jc w:val="center"/>
              <w:rPr>
                <w:rFonts w:hint="eastAsia" w:ascii="仿宋" w:hAnsi="仿宋" w:eastAsia="仿宋"/>
                <w:b/>
                <w:bCs/>
              </w:rPr>
            </w:pPr>
            <w:r>
              <w:rPr>
                <w:rFonts w:hint="eastAsia" w:ascii="仿宋" w:hAnsi="仿宋" w:eastAsia="仿宋"/>
                <w:b/>
                <w:bCs/>
              </w:rPr>
              <w:t>项目简介</w:t>
            </w:r>
          </w:p>
        </w:tc>
        <w:tc>
          <w:tcPr>
            <w:tcW w:w="7849" w:type="dxa"/>
            <w:vAlign w:val="center"/>
          </w:tcPr>
          <w:p>
            <w:pPr>
              <w:adjustRightInd w:val="0"/>
              <w:snapToGrid w:val="0"/>
              <w:ind w:firstLine="210" w:firstLineChars="100"/>
              <w:jc w:val="left"/>
              <w:rPr>
                <w:rFonts w:hint="eastAsia" w:ascii="仿宋" w:hAnsi="仿宋" w:eastAsia="仿宋"/>
              </w:rPr>
            </w:pPr>
            <w:r>
              <w:rPr>
                <w:rFonts w:hint="eastAsia" w:ascii="仿宋" w:hAnsi="仿宋" w:eastAsia="仿宋"/>
              </w:rPr>
              <w:t>类风湿关节炎（Rheumatoid Arthritis，RA）是一种以对称性多关节炎为主要临床表现的自身免疫性疾病，以关节滑膜慢性炎症、关节的进行性破坏为特征。中医药治疗RA具有独特的优势，昆明山海棠临床治疗RA具有确切疗效且已被学界公认。昆明山海棠单味药作用范围有限，且有显著的抗生育作用，限制其在临床的广泛使用。课题组运用传统中医中药配伍理论，使用全国名老中医陈纪藩教授临床诊治类风湿关节炎中的主要药对昆明山海棠配伍益母草、续断、鸡血藤，并通过体内外及临床实验，验证昆明山海棠的增效减毒作用，并探讨其可能的作用机制。本项目属于风湿病领域的重大发现，对RA的中医药治疗以及昆明山海棠制剂的开发将起到重要的推动作用。</w:t>
            </w:r>
          </w:p>
          <w:p>
            <w:pPr>
              <w:adjustRightInd w:val="0"/>
              <w:snapToGrid w:val="0"/>
              <w:ind w:firstLine="210" w:firstLineChars="100"/>
              <w:jc w:val="left"/>
              <w:rPr>
                <w:rFonts w:hint="eastAsia" w:ascii="仿宋" w:hAnsi="仿宋" w:eastAsia="仿宋"/>
              </w:rPr>
            </w:pPr>
            <w:r>
              <w:rPr>
                <w:rFonts w:hint="eastAsia" w:ascii="仿宋" w:hAnsi="仿宋" w:eastAsia="仿宋"/>
              </w:rPr>
              <w:t>本项目研究昆明山海棠相关复方昆母汤（昆明山海棠配伍益母草）、昆断汤（昆明山海棠配伍续断）及断藤益母汤（昆明山海棠配伍益母草、续断）与单用昆明山海棠都能不同程度改善胶原诱导性关节炎（Collagen-induced arthritis，CIA）大鼠的骨侵蚀情况，其中昆母汤在抑制炎症指标方面作用较为突出，昆断汤在促进骨保护方面作用较为突出,且续断能拮抗昆明山海棠对精子产生及成熟的抑制作用，减轻其生殖毒性。而断藤益母汤在抑制炎症指标和促进骨保护方面均优于其他配伍，断藤益母汤还可改善昆明山海棠对佐剂性关节炎雌鼠的生殖毒性，保护卵巢功能。复方中主要中药单体雷公藤甲素、益母草碱和山奈酚均能减轻CIA小鼠的关节炎状况和骨破坏，雷公藤甲素能减少了基质金属蛋白酶的活化，降低TNF-α诱导的磷酸化的JNK表达，阻断JNK MAPK通路的激活来抑制类风湿关节炎成纤维样滑膜细胞（Rheumatoid arthritis Fibroblast-like synoviocytes，RA FLS）的迁移和侵袭。益母草碱通过p38/IκBα/NF-κB信号通路和JNK MAPK调控RA-FLS的活化、迁移及侵袭。山柰酚抑制RA FLS的迁移、侵袭、细胞骨架重组和金属蛋白酶的表达，通过PI3K/Akt信号通路诱导RA FLS凋亡和周期阻滞。临床观察证实以昆明山海棠配伍鸡血藤为主要成分的院内制剂昆藤通痹合剂对缓解类风湿关节炎患者的临床症状有良好效果。断藤益母汤能够有效改善RA患者骨代谢水平，且在RA活动期疗效与来氟米特相当且起效更快。昆母汤可有效降低活动性RA患者的DAS28评分。</w:t>
            </w:r>
          </w:p>
          <w:p>
            <w:pPr>
              <w:adjustRightInd w:val="0"/>
              <w:snapToGrid w:val="0"/>
              <w:ind w:firstLine="210" w:firstLineChars="100"/>
              <w:jc w:val="left"/>
              <w:rPr>
                <w:rFonts w:hint="eastAsia" w:ascii="仿宋" w:hAnsi="仿宋" w:eastAsia="仿宋"/>
              </w:rPr>
            </w:pPr>
            <w:r>
              <w:rPr>
                <w:rFonts w:hint="eastAsia" w:ascii="仿宋" w:hAnsi="仿宋" w:eastAsia="仿宋"/>
              </w:rPr>
              <w:t>本项目首次提出运用中药配伍理论解决昆明山海棠增效减毒的问题，昆明山海棠相关复方治疗类风湿关节炎疗效确切，且较昆明山海棠单用更有效和安全。在主要完成单位得到长期广泛的使用，含昆明山海棠药物配伍的年均处方金额超过700万元，近三年销售总额超过2200万元，实现利润超过550万元，创造了较大的经济效益。同时，这一成果还推广到岭南风湿病联盟合作单位及省内外其他医疗单位，应用效果良好，起到了积极的社会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hint="eastAsia" w:ascii="仿宋" w:hAnsi="仿宋" w:eastAsia="仿宋"/>
                <w:b/>
                <w:bCs/>
              </w:rPr>
            </w:pPr>
            <w:r>
              <w:rPr>
                <w:rFonts w:hint="eastAsia" w:ascii="仿宋" w:hAnsi="仿宋" w:eastAsia="仿宋"/>
                <w:b/>
                <w:bCs/>
              </w:rPr>
              <w:t>代表性论文</w:t>
            </w:r>
          </w:p>
          <w:p>
            <w:pPr>
              <w:adjustRightInd w:val="0"/>
              <w:snapToGrid w:val="0"/>
              <w:jc w:val="center"/>
              <w:rPr>
                <w:rFonts w:hint="eastAsia" w:ascii="仿宋" w:hAnsi="仿宋" w:eastAsia="仿宋"/>
                <w:b/>
                <w:bCs/>
              </w:rPr>
            </w:pPr>
            <w:r>
              <w:rPr>
                <w:rFonts w:hint="eastAsia" w:ascii="仿宋" w:hAnsi="仿宋" w:eastAsia="仿宋"/>
                <w:b/>
                <w:bCs/>
              </w:rPr>
              <w:t>专著目录</w:t>
            </w:r>
          </w:p>
        </w:tc>
        <w:tc>
          <w:tcPr>
            <w:tcW w:w="7849" w:type="dxa"/>
            <w:vAlign w:val="center"/>
          </w:tcPr>
          <w:p>
            <w:pPr>
              <w:spacing w:line="300" w:lineRule="auto"/>
              <w:rPr>
                <w:rFonts w:hint="default" w:ascii="Times New Roman" w:hAnsi="Times New Roman" w:eastAsia="仿宋" w:cs="Times New Roman"/>
                <w:sz w:val="21"/>
                <w:szCs w:val="21"/>
              </w:rPr>
            </w:pPr>
            <w:r>
              <w:rPr>
                <w:rFonts w:hint="default" w:ascii="仿宋" w:hAnsi="仿宋" w:eastAsia="仿宋" w:cs="仿宋"/>
                <w:color w:val="000000" w:themeColor="text1"/>
                <w:sz w:val="21"/>
                <w:szCs w:val="21"/>
                <w:lang w:val="en-US" w:eastAsia="zh-CN"/>
                <w14:textFill>
                  <w14:solidFill>
                    <w14:schemeClr w14:val="tx1"/>
                  </w14:solidFill>
                </w14:textFill>
              </w:rPr>
              <w:t>1、</w:t>
            </w:r>
            <w:r>
              <w:rPr>
                <w:rFonts w:hint="default" w:ascii="Times New Roman" w:hAnsi="Times New Roman" w:cs="Times New Roman"/>
                <w:color w:val="000000" w:themeColor="text1"/>
                <w:sz w:val="21"/>
                <w:szCs w:val="21"/>
                <w14:textFill>
                  <w14:solidFill>
                    <w14:schemeClr w14:val="tx1"/>
                  </w14:solidFill>
                </w14:textFill>
              </w:rPr>
              <w:t>Leonurine attenuates fibroblast-like synoviocyte-mediated synovial inflammation and joint</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destruction in</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rheumatoid arthritis.</w:t>
            </w:r>
            <w:r>
              <w:rPr>
                <w:rFonts w:hint="default" w:ascii="Times New Roman" w:hAnsi="Times New Roman" w:cs="Times New Roman"/>
                <w:i/>
                <w:color w:val="000000" w:themeColor="text1"/>
                <w:sz w:val="21"/>
                <w:szCs w:val="21"/>
                <w14:textFill>
                  <w14:solidFill>
                    <w14:schemeClr w14:val="tx1"/>
                  </w14:solidFill>
                </w14:textFill>
              </w:rPr>
              <w:t>Rheumatology.</w:t>
            </w:r>
            <w:r>
              <w:rPr>
                <w:rFonts w:hint="default" w:ascii="Times New Roman" w:hAnsi="Times New Roman" w:cs="Times New Roman"/>
                <w:color w:val="000000" w:themeColor="text1"/>
                <w:sz w:val="21"/>
                <w:szCs w:val="21"/>
                <w14:textFill>
                  <w14:solidFill>
                    <w14:schemeClr w14:val="tx1"/>
                  </w14:solidFill>
                </w14:textFill>
              </w:rPr>
              <w:t>2017,56(8):1417-1427</w:t>
            </w:r>
            <w:r>
              <w:rPr>
                <w:rFonts w:hint="default" w:ascii="Times New Roman" w:hAnsi="Times New Roman" w:cs="Times New Roman"/>
                <w:i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 xml:space="preserve"> (IF= 5.245)</w:t>
            </w:r>
            <w:r>
              <w:rPr>
                <w:rFonts w:hint="default" w:ascii="Times New Roman" w:hAnsi="Times New Roman" w:cs="Times New Roman"/>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color w:val="000000" w:themeColor="text1"/>
                <w:sz w:val="21"/>
                <w:szCs w:val="21"/>
                <w14:textFill>
                  <w14:solidFill>
                    <w14:schemeClr w14:val="tx1"/>
                  </w14:solidFill>
                </w14:textFill>
              </w:rPr>
              <w:t>2、</w:t>
            </w:r>
            <w:r>
              <w:rPr>
                <w:rFonts w:ascii="Times New Roman" w:hAnsi="Times New Roman" w:cs="Times New Roman"/>
                <w:color w:val="000000" w:themeColor="text1"/>
                <w:sz w:val="21"/>
                <w:szCs w:val="21"/>
                <w14:textFill>
                  <w14:solidFill>
                    <w14:schemeClr w14:val="tx1"/>
                  </w14:solidFill>
                </w14:textFill>
              </w:rPr>
              <w:t>Kaempferol inhibits the migration and invasion of rheumatoid arthritis fibroblast-like synoviocytes by blocking activation of the MAPK pathway</w:t>
            </w:r>
            <w:r>
              <w:rPr>
                <w:rFonts w:hint="eastAsia" w:ascii="Times New Roman" w:hAnsi="Times New Roman" w:cs="Times New Roman"/>
                <w:color w:val="000000" w:themeColor="text1"/>
                <w:sz w:val="21"/>
                <w:szCs w:val="21"/>
                <w14:textFill>
                  <w14:solidFill>
                    <w14:schemeClr w14:val="tx1"/>
                  </w14:solidFill>
                </w14:textFill>
              </w:rPr>
              <w:t>.</w:t>
            </w:r>
            <w:r>
              <w:rPr>
                <w:rFonts w:ascii="Times New Roman" w:hAnsi="Times New Roman" w:cs="Times New Roman"/>
                <w:i/>
                <w:color w:val="000000" w:themeColor="text1"/>
                <w:sz w:val="21"/>
                <w:szCs w:val="21"/>
                <w14:textFill>
                  <w14:solidFill>
                    <w14:schemeClr w14:val="tx1"/>
                  </w14:solidFill>
                </w14:textFill>
              </w:rPr>
              <w:t>International</w:t>
            </w:r>
            <w:r>
              <w:rPr>
                <w:rFonts w:hint="eastAsia" w:ascii="Times New Roman" w:hAnsi="Times New Roman" w:cs="Times New Roman"/>
                <w:i/>
                <w:color w:val="000000" w:themeColor="text1"/>
                <w:sz w:val="21"/>
                <w:szCs w:val="21"/>
                <w:lang w:val="en-US" w:eastAsia="zh-CN"/>
                <w14:textFill>
                  <w14:solidFill>
                    <w14:schemeClr w14:val="tx1"/>
                  </w14:solidFill>
                </w14:textFill>
              </w:rPr>
              <w:t xml:space="preserve"> </w:t>
            </w:r>
            <w:r>
              <w:rPr>
                <w:rFonts w:ascii="Times New Roman" w:hAnsi="Times New Roman" w:cs="Times New Roman"/>
                <w:i/>
                <w:color w:val="000000" w:themeColor="text1"/>
                <w:sz w:val="21"/>
                <w:szCs w:val="21"/>
                <w14:textFill>
                  <w14:solidFill>
                    <w14:schemeClr w14:val="tx1"/>
                  </w14:solidFill>
                </w14:textFill>
              </w:rPr>
              <w:t>Immunopharmacology</w:t>
            </w:r>
            <w:r>
              <w:rPr>
                <w:rFonts w:hint="eastAsia" w:ascii="Times New Roman" w:hAnsi="Times New Roman" w:cs="Times New Roman"/>
                <w:b/>
                <w:bCs/>
                <w:i/>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2018,55:174-182</w:t>
            </w:r>
            <w:r>
              <w:rPr>
                <w:rFonts w:hint="eastAsia" w:ascii="Times New Roman" w:hAnsi="Times New Roman" w:cs="Times New Roman"/>
                <w:iCs/>
                <w:color w:val="000000" w:themeColor="text1"/>
                <w:sz w:val="21"/>
                <w:szCs w:val="21"/>
                <w14:textFill>
                  <w14:solidFill>
                    <w14:schemeClr w14:val="tx1"/>
                  </w14:solidFill>
                </w14:textFill>
              </w:rPr>
              <w:t>.</w:t>
            </w:r>
            <w:r>
              <w:rPr>
                <w:rFonts w:ascii="Times New Roman" w:hAnsi="Times New Roman" w:cs="Times New Roman"/>
                <w:b/>
                <w:bCs/>
                <w:color w:val="000000" w:themeColor="text1"/>
                <w:sz w:val="21"/>
                <w:szCs w:val="21"/>
                <w14:textFill>
                  <w14:solidFill>
                    <w14:schemeClr w14:val="tx1"/>
                  </w14:solidFill>
                </w14:textFill>
              </w:rPr>
              <w:t>(IF=3.118)</w:t>
            </w:r>
            <w:r>
              <w:rPr>
                <w:rFonts w:hint="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color w:val="000000" w:themeColor="text1"/>
                <w:sz w:val="21"/>
                <w:szCs w:val="21"/>
                <w14:textFill>
                  <w14:solidFill>
                    <w14:schemeClr w14:val="tx1"/>
                  </w14:solidFill>
                </w14:textFill>
              </w:rPr>
              <w:t>3、</w:t>
            </w:r>
            <w:r>
              <w:rPr>
                <w:rFonts w:ascii="Times New Roman" w:hAnsi="Times New Roman" w:cs="Times New Roman"/>
                <w:color w:val="000000" w:themeColor="text1"/>
                <w:sz w:val="21"/>
                <w:szCs w:val="21"/>
                <w14:textFill>
                  <w14:solidFill>
                    <w14:schemeClr w14:val="tx1"/>
                  </w14:solidFill>
                </w14:textFill>
              </w:rPr>
              <w:t>Triptolide inhibits the migration and invasion of rheumatoidfibroblast-like synoviocytes by blocking the activation of the JNKMAPK pathway</w:t>
            </w:r>
            <w:r>
              <w:rPr>
                <w:rFonts w:hint="eastAsia" w:ascii="Times New Roman" w:hAnsi="Times New Roman" w:cs="Times New Roman"/>
                <w:color w:val="000000" w:themeColor="text1"/>
                <w:sz w:val="21"/>
                <w:szCs w:val="21"/>
                <w14:textFill>
                  <w14:solidFill>
                    <w14:schemeClr w14:val="tx1"/>
                  </w14:solidFill>
                </w14:textFill>
              </w:rPr>
              <w:t>.</w:t>
            </w:r>
            <w:r>
              <w:rPr>
                <w:rFonts w:ascii="Times New Roman" w:hAnsi="Times New Roman" w:cs="Times New Roman"/>
                <w:i/>
                <w:color w:val="000000" w:themeColor="text1"/>
                <w:sz w:val="21"/>
                <w:szCs w:val="21"/>
                <w14:textFill>
                  <w14:solidFill>
                    <w14:schemeClr w14:val="tx1"/>
                  </w14:solidFill>
                </w14:textFill>
              </w:rPr>
              <w:t>International Immunopharmacology</w:t>
            </w:r>
            <w:r>
              <w:rPr>
                <w:rFonts w:hint="eastAsia" w:ascii="Times New Roman" w:hAnsi="Times New Roman" w:cs="Times New Roman"/>
                <w:b/>
                <w:bCs/>
                <w:i/>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2016,41:8-16</w:t>
            </w:r>
            <w:r>
              <w:rPr>
                <w:rFonts w:hint="eastAsia" w:ascii="Times New Roman" w:hAnsi="Times New Roman" w:cs="Times New Roman"/>
                <w:iCs/>
                <w:color w:val="000000" w:themeColor="text1"/>
                <w:sz w:val="21"/>
                <w:szCs w:val="21"/>
                <w14:textFill>
                  <w14:solidFill>
                    <w14:schemeClr w14:val="tx1"/>
                  </w14:solidFill>
                </w14:textFill>
              </w:rPr>
              <w:t>.</w:t>
            </w:r>
            <w:r>
              <w:rPr>
                <w:rFonts w:ascii="Times New Roman" w:hAnsi="Times New Roman" w:cs="Times New Roman"/>
                <w:b/>
                <w:bCs/>
                <w:color w:val="000000" w:themeColor="text1"/>
                <w:sz w:val="21"/>
                <w:szCs w:val="21"/>
                <w14:textFill>
                  <w14:solidFill>
                    <w14:schemeClr w14:val="tx1"/>
                  </w14:solidFill>
                </w14:textFill>
              </w:rPr>
              <w:t>(IF=2.956)</w:t>
            </w:r>
            <w:r>
              <w:rPr>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color w:val="000000" w:themeColor="text1"/>
                <w:sz w:val="21"/>
                <w:szCs w:val="21"/>
                <w14:textFill>
                  <w14:solidFill>
                    <w14:schemeClr w14:val="tx1"/>
                  </w14:solidFill>
                </w14:textFill>
              </w:rPr>
              <w:t>4、</w:t>
            </w:r>
            <w:r>
              <w:rPr>
                <w:rFonts w:ascii="Times New Roman" w:hAnsi="Times New Roman" w:cs="Times New Roman"/>
                <w:color w:val="000000" w:themeColor="text1"/>
                <w:sz w:val="21"/>
                <w:szCs w:val="21"/>
                <w14:textFill>
                  <w14:solidFill>
                    <w14:schemeClr w14:val="tx1"/>
                  </w14:solidFill>
                </w14:textFill>
              </w:rPr>
              <w:t>Ontology-based systematic representation and analysis of traditional Chinese drugs against rheumatism</w:t>
            </w:r>
            <w:r>
              <w:rPr>
                <w:rFonts w:hint="eastAsia" w:ascii="Times New Roman" w:hAnsi="Times New Roman" w:cs="Times New Roman"/>
                <w:color w:val="000000" w:themeColor="text1"/>
                <w:sz w:val="21"/>
                <w:szCs w:val="21"/>
                <w14:textFill>
                  <w14:solidFill>
                    <w14:schemeClr w14:val="tx1"/>
                  </w14:solidFill>
                </w14:textFill>
              </w:rPr>
              <w:t>.</w:t>
            </w:r>
            <w:r>
              <w:rPr>
                <w:rFonts w:ascii="Times New Roman" w:hAnsi="Times New Roman" w:cs="Times New Roman"/>
                <w:i/>
                <w:color w:val="000000" w:themeColor="text1"/>
                <w:sz w:val="21"/>
                <w:szCs w:val="21"/>
                <w14:textFill>
                  <w14:solidFill>
                    <w14:schemeClr w14:val="tx1"/>
                  </w14:solidFill>
                </w14:textFill>
              </w:rPr>
              <w:t>BMC Systems Biology</w:t>
            </w:r>
            <w:r>
              <w:rPr>
                <w:rFonts w:hint="eastAsia" w:ascii="Times New Roman" w:hAnsi="Times New Roman" w:cs="Times New Roman"/>
                <w:i/>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2017,11(7): 114-125</w:t>
            </w:r>
            <w:r>
              <w:rPr>
                <w:rFonts w:hint="eastAsia" w:ascii="Times New Roman" w:hAnsi="Times New Roman" w:cs="Times New Roman"/>
                <w:iCs/>
                <w:color w:val="000000" w:themeColor="text1"/>
                <w:sz w:val="21"/>
                <w:szCs w:val="21"/>
                <w14:textFill>
                  <w14:solidFill>
                    <w14:schemeClr w14:val="tx1"/>
                  </w14:solidFill>
                </w14:textFill>
              </w:rPr>
              <w:t>.</w:t>
            </w:r>
            <w:r>
              <w:rPr>
                <w:rFonts w:ascii="Times New Roman" w:hAnsi="Times New Roman" w:cs="Times New Roman"/>
                <w:b/>
                <w:bCs/>
                <w:color w:val="000000" w:themeColor="text1"/>
                <w:sz w:val="21"/>
                <w:szCs w:val="21"/>
                <w14:textFill>
                  <w14:solidFill>
                    <w14:schemeClr w14:val="tx1"/>
                  </w14:solidFill>
                </w14:textFill>
              </w:rPr>
              <w:t>(IF=2.05)</w:t>
            </w:r>
            <w:r>
              <w:rPr>
                <w:rFonts w:hint="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color w:val="000000" w:themeColor="text1"/>
                <w:sz w:val="21"/>
                <w:szCs w:val="21"/>
                <w14:textFill>
                  <w14:solidFill>
                    <w14:schemeClr w14:val="tx1"/>
                  </w14:solidFill>
                </w14:textFill>
              </w:rPr>
              <w:t>5、</w:t>
            </w:r>
            <w:r>
              <w:rPr>
                <w:rFonts w:ascii="Times New Roman" w:hAnsi="Times New Roman" w:cs="Times New Roman"/>
                <w:color w:val="000000" w:themeColor="text1"/>
                <w:sz w:val="21"/>
                <w:szCs w:val="21"/>
                <w14:textFill>
                  <w14:solidFill>
                    <w14:schemeClr w14:val="tx1"/>
                  </w14:solidFill>
                </w14:textFill>
              </w:rPr>
              <w:t>Plasma levels of D-dimer in a 5‑year‑old girl with systemic juvenile idiopathic arthritis: A case report and literature review</w:t>
            </w:r>
            <w:r>
              <w:rPr>
                <w:rFonts w:hint="eastAsia" w:ascii="Times New Roman" w:hAnsi="Times New Roman" w:cs="Times New Roman"/>
                <w:color w:val="000000" w:themeColor="text1"/>
                <w:sz w:val="21"/>
                <w:szCs w:val="21"/>
                <w14:textFill>
                  <w14:solidFill>
                    <w14:schemeClr w14:val="tx1"/>
                  </w14:solidFill>
                </w14:textFill>
              </w:rPr>
              <w:t>.</w:t>
            </w:r>
            <w:r>
              <w:rPr>
                <w:rFonts w:ascii="Times New Roman"/>
                <w:i/>
                <w:color w:val="000000" w:themeColor="text1"/>
                <w:sz w:val="21"/>
                <w:szCs w:val="21"/>
                <w14:textFill>
                  <w14:solidFill>
                    <w14:schemeClr w14:val="tx1"/>
                  </w14:solidFill>
                </w14:textFill>
              </w:rPr>
              <w:t xml:space="preserve">EXPERIMENTAL AND THERAPEUTIC MEDICINE </w:t>
            </w:r>
            <w:r>
              <w:rPr>
                <w:rFonts w:hint="eastAsia" w:ascii="Times New Roman"/>
                <w:i/>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2016,11(3):1027-1030</w:t>
            </w:r>
            <w:r>
              <w:rPr>
                <w:rFonts w:ascii="Times New Roman" w:hAnsi="Times New Roman" w:cs="Times New Roman"/>
                <w:i/>
                <w:color w:val="000000" w:themeColor="text1"/>
                <w:sz w:val="21"/>
                <w:szCs w:val="21"/>
                <w14:textFill>
                  <w14:solidFill>
                    <w14:schemeClr w14:val="tx1"/>
                  </w14:solidFill>
                </w14:textFill>
              </w:rPr>
              <w:t>.</w:t>
            </w:r>
            <w:r>
              <w:rPr>
                <w:rFonts w:ascii="Times New Roman" w:hAnsi="Times New Roman" w:cs="Times New Roman"/>
                <w:b/>
                <w:bCs/>
                <w:color w:val="000000" w:themeColor="text1"/>
                <w:sz w:val="21"/>
                <w:szCs w:val="21"/>
                <w14:textFill>
                  <w14:solidFill>
                    <w14:schemeClr w14:val="tx1"/>
                  </w14:solidFill>
                </w14:textFill>
              </w:rPr>
              <w:t>(IF=1.27)</w:t>
            </w:r>
            <w:r>
              <w:rPr>
                <w:rFonts w:hint="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color w:val="000000" w:themeColor="text1"/>
                <w:sz w:val="21"/>
                <w:szCs w:val="21"/>
                <w14:textFill>
                  <w14:solidFill>
                    <w14:schemeClr w14:val="tx1"/>
                  </w14:solidFill>
                </w14:textFill>
              </w:rPr>
              <w:t>6、</w:t>
            </w:r>
            <w:r>
              <w:rPr>
                <w:rFonts w:ascii="Times New Roman" w:hAnsi="Times New Roman" w:cs="Times New Roman"/>
                <w:color w:val="000000" w:themeColor="text1"/>
                <w:sz w:val="21"/>
                <w:szCs w:val="21"/>
                <w14:textFill>
                  <w14:solidFill>
                    <w14:schemeClr w14:val="tx1"/>
                  </w14:solidFill>
                </w14:textFill>
              </w:rPr>
              <w:t>Plasma D-dimer is a Promising Indicator for the Treatment of Acute Gouty Attack</w:t>
            </w:r>
            <w:r>
              <w:rPr>
                <w:rFonts w:hint="eastAsia" w:ascii="Times New Roman" w:hAnsi="Times New Roman" w:cs="Times New Roman"/>
                <w:color w:val="000000" w:themeColor="text1"/>
                <w:sz w:val="21"/>
                <w:szCs w:val="21"/>
                <w14:textFill>
                  <w14:solidFill>
                    <w14:schemeClr w14:val="tx1"/>
                  </w14:solidFill>
                </w14:textFill>
              </w:rPr>
              <w:t>.</w:t>
            </w:r>
            <w:r>
              <w:rPr>
                <w:rFonts w:ascii="Times New Roman" w:hAnsi="Times New Roman" w:cs="Times New Roman"/>
                <w:i/>
                <w:color w:val="000000" w:themeColor="text1"/>
                <w:sz w:val="21"/>
                <w:szCs w:val="21"/>
                <w14:textFill>
                  <w14:solidFill>
                    <w14:schemeClr w14:val="tx1"/>
                  </w14:solidFill>
                </w14:textFill>
              </w:rPr>
              <w:t xml:space="preserve">Annals of Clinical &amp; Laboratory Science </w:t>
            </w:r>
            <w:r>
              <w:rPr>
                <w:rFonts w:hint="eastAsia" w:ascii="Times New Roman" w:hAnsi="Times New Roman" w:cs="Times New Roman"/>
                <w:i/>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2018,48(4):435-439</w:t>
            </w:r>
            <w:r>
              <w:rPr>
                <w:rFonts w:hint="eastAsia" w:ascii="Times New Roman" w:hAnsi="Times New Roman" w:cs="Times New Roman"/>
                <w:iCs/>
                <w:color w:val="000000" w:themeColor="text1"/>
                <w:sz w:val="21"/>
                <w:szCs w:val="21"/>
                <w14:textFill>
                  <w14:solidFill>
                    <w14:schemeClr w14:val="tx1"/>
                  </w14:solidFill>
                </w14:textFill>
              </w:rPr>
              <w:t>.</w:t>
            </w:r>
            <w:r>
              <w:rPr>
                <w:rFonts w:ascii="Times New Roman" w:hAnsi="Times New Roman" w:cs="Times New Roman"/>
                <w:b/>
                <w:bCs/>
                <w:color w:val="000000" w:themeColor="text1"/>
                <w:sz w:val="21"/>
                <w:szCs w:val="21"/>
                <w14:textFill>
                  <w14:solidFill>
                    <w14:schemeClr w14:val="tx1"/>
                  </w14:solidFill>
                </w14:textFill>
              </w:rPr>
              <w:t>(IF=0.828)</w:t>
            </w:r>
            <w:r>
              <w:rPr>
                <w:rFonts w:hint="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spacing w:line="300" w:lineRule="auto"/>
              <w:rPr>
                <w:rFonts w:hint="eastAsia" w:ascii="仿宋" w:hAnsi="仿宋" w:eastAsia="仿宋" w:cs="仿宋"/>
                <w:sz w:val="21"/>
                <w:szCs w:val="21"/>
              </w:rPr>
            </w:pPr>
            <w:r>
              <w:rPr>
                <w:rFonts w:hint="eastAsia" w:ascii="仿宋" w:hAnsi="仿宋" w:eastAsia="仿宋" w:cs="仿宋"/>
                <w:color w:val="000000" w:themeColor="text1"/>
                <w:sz w:val="21"/>
                <w:szCs w:val="21"/>
                <w14:textFill>
                  <w14:solidFill>
                    <w14:schemeClr w14:val="tx1"/>
                  </w14:solidFill>
                </w14:textFill>
              </w:rPr>
              <w:t>7、断藤益母汤对破骨细胞RANKL信号通路及MMP-9的影响.中国实验方剂学杂志</w:t>
            </w:r>
            <w:r>
              <w:rPr>
                <w:rFonts w:hint="eastAsia"/>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2018</w:t>
            </w:r>
            <w:r>
              <w:rPr>
                <w:rFonts w:ascii="Times New Roman" w:hAnsi="Times New Roman" w:eastAsia="宋体" w:cs="Times New Roman"/>
                <w:color w:val="000000" w:themeColor="text1"/>
                <w:sz w:val="21"/>
                <w:szCs w:val="21"/>
                <w:shd w:val="clear" w:color="auto" w:fill="FFFFFF"/>
                <w14:textFill>
                  <w14:solidFill>
                    <w14:schemeClr w14:val="tx1"/>
                  </w14:solidFill>
                </w14:textFill>
              </w:rPr>
              <w:t>,24(12):68-73</w:t>
            </w:r>
            <w:r>
              <w:rPr>
                <w:rFonts w:hint="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spacing w:line="300" w:lineRule="auto"/>
              <w:rPr>
                <w:rFonts w:hint="eastAsia" w:ascii="仿宋" w:hAnsi="仿宋" w:eastAsia="仿宋" w:cs="仿宋"/>
                <w:sz w:val="21"/>
                <w:szCs w:val="21"/>
              </w:rPr>
            </w:pPr>
            <w:r>
              <w:rPr>
                <w:rFonts w:hint="eastAsia" w:ascii="仿宋" w:hAnsi="仿宋" w:eastAsia="仿宋" w:cs="仿宋"/>
                <w:color w:val="000000" w:themeColor="text1"/>
                <w:sz w:val="21"/>
                <w:szCs w:val="21"/>
                <w14:textFill>
                  <w14:solidFill>
                    <w14:schemeClr w14:val="tx1"/>
                  </w14:solidFill>
                </w14:textFill>
              </w:rPr>
              <w:t>8、断藤益母汤对佐剂性关节炎大鼠骨破坏的干预作用.广州中医药大学学报</w:t>
            </w:r>
            <w:r>
              <w:rPr>
                <w:rFonts w:hint="eastAsia"/>
                <w:color w:val="000000" w:themeColor="text1"/>
                <w:sz w:val="21"/>
                <w:szCs w:val="21"/>
                <w14:textFill>
                  <w14:solidFill>
                    <w14:schemeClr w14:val="tx1"/>
                  </w14:solidFill>
                </w14:textFill>
              </w:rPr>
              <w:t>.</w:t>
            </w:r>
            <w:r>
              <w:rPr>
                <w:rFonts w:ascii="Times New Roman" w:hAnsi="Times New Roman" w:eastAsia="宋体" w:cs="Times New Roman"/>
                <w:color w:val="000000" w:themeColor="text1"/>
                <w:sz w:val="21"/>
                <w:szCs w:val="21"/>
                <w:shd w:val="clear" w:color="auto" w:fill="FFFFFF"/>
                <w14:textFill>
                  <w14:solidFill>
                    <w14:schemeClr w14:val="tx1"/>
                  </w14:solidFill>
                </w14:textFill>
              </w:rPr>
              <w:t>2015,21(10):146-149</w:t>
            </w:r>
            <w:r>
              <w:rPr>
                <w:rFonts w:hint="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color w:val="000000" w:themeColor="text1"/>
                <w:sz w:val="21"/>
                <w:szCs w:val="21"/>
                <w14:textFill>
                  <w14:solidFill>
                    <w14:schemeClr w14:val="tx1"/>
                  </w14:solidFill>
                </w14:textFill>
              </w:rPr>
              <w:t>9、昆母汤醇提取物对类风湿关节炎成纤维样滑膜细胞增殖及IL-1β和MMP-3表达的影响</w:t>
            </w:r>
            <w:r>
              <w:rPr>
                <w:rFonts w:hint="eastAsia"/>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14:textFill>
                  <w14:solidFill>
                    <w14:schemeClr w14:val="tx1"/>
                  </w14:solidFill>
                </w14:textFill>
              </w:rPr>
              <w:t>广东医学</w:t>
            </w:r>
            <w:r>
              <w:rPr>
                <w:rFonts w:hint="eastAsia"/>
                <w:color w:val="000000" w:themeColor="text1"/>
                <w:sz w:val="21"/>
                <w:szCs w:val="21"/>
                <w14:textFill>
                  <w14:solidFill>
                    <w14:schemeClr w14:val="tx1"/>
                  </w14:solidFill>
                </w14:textFill>
              </w:rPr>
              <w:t>.</w:t>
            </w:r>
            <w:r>
              <w:rPr>
                <w:rFonts w:ascii="Times New Roman" w:hAnsi="Times New Roman" w:eastAsia="宋体" w:cs="Times New Roman"/>
                <w:color w:val="000000" w:themeColor="text1"/>
                <w:sz w:val="21"/>
                <w:szCs w:val="21"/>
                <w:shd w:val="clear" w:color="auto" w:fill="FFFFFF"/>
                <w14:textFill>
                  <w14:solidFill>
                    <w14:schemeClr w14:val="tx1"/>
                  </w14:solidFill>
                </w14:textFill>
              </w:rPr>
              <w:t>2015,36(14):2136-2138</w:t>
            </w:r>
            <w:r>
              <w:rPr>
                <w:rFonts w:hint="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color w:val="000000" w:themeColor="text1"/>
                <w:sz w:val="21"/>
                <w:szCs w:val="21"/>
                <w14:textFill>
                  <w14:solidFill>
                    <w14:schemeClr w14:val="tx1"/>
                  </w14:solidFill>
                </w14:textFill>
              </w:rPr>
              <w:t>10、断藤益母汤治疗类风湿关节炎的临床疗效观察.广州中医药大学学报</w:t>
            </w:r>
            <w:r>
              <w:rPr>
                <w:rFonts w:hint="eastAsia"/>
                <w:color w:val="000000" w:themeColor="text1"/>
                <w:sz w:val="21"/>
                <w:szCs w:val="21"/>
                <w14:textFill>
                  <w14:solidFill>
                    <w14:schemeClr w14:val="tx1"/>
                  </w14:solidFill>
                </w14:textFill>
              </w:rPr>
              <w:t>.</w:t>
            </w:r>
            <w:r>
              <w:rPr>
                <w:rFonts w:ascii="Times New Roman" w:hAnsi="Times New Roman" w:eastAsia="宋体" w:cs="Times New Roman"/>
                <w:color w:val="000000" w:themeColor="text1"/>
                <w:sz w:val="21"/>
                <w:szCs w:val="21"/>
                <w:shd w:val="clear" w:color="auto" w:fill="FFFFFF"/>
                <w14:textFill>
                  <w14:solidFill>
                    <w14:schemeClr w14:val="tx1"/>
                  </w14:solidFill>
                </w14:textFill>
              </w:rPr>
              <w:t>2012,29(06):632-637</w:t>
            </w:r>
            <w:r>
              <w:rPr>
                <w:rFonts w:hint="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hint="eastAsia" w:ascii="仿宋" w:hAnsi="仿宋" w:eastAsia="仿宋"/>
                <w:b/>
                <w:bCs/>
              </w:rPr>
            </w:pPr>
            <w:r>
              <w:rPr>
                <w:rFonts w:hint="eastAsia" w:ascii="仿宋" w:hAnsi="仿宋" w:eastAsia="仿宋"/>
                <w:b/>
                <w:bCs/>
              </w:rPr>
              <w:t>知识产权名称</w:t>
            </w:r>
          </w:p>
        </w:tc>
        <w:tc>
          <w:tcPr>
            <w:tcW w:w="7849" w:type="dxa"/>
            <w:vAlign w:val="center"/>
          </w:tcPr>
          <w:p>
            <w:pPr>
              <w:adjustRightInd w:val="0"/>
              <w:snapToGrid w:val="0"/>
              <w:rPr>
                <w:rFonts w:hint="eastAsia" w:ascii="仿宋" w:hAnsi="仿宋" w:eastAsia="仿宋"/>
                <w:lang w:eastAsia="zh-CN"/>
              </w:rPr>
            </w:pPr>
            <w:r>
              <w:rPr>
                <w:rFonts w:hint="eastAsia" w:ascii="仿宋" w:hAnsi="仿宋" w:eastAsia="仿宋"/>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15" w:type="dxa"/>
            <w:vMerge w:val="continue"/>
            <w:vAlign w:val="center"/>
          </w:tcPr>
          <w:p>
            <w:pPr>
              <w:adjustRightInd w:val="0"/>
              <w:snapToGrid w:val="0"/>
              <w:jc w:val="center"/>
              <w:rPr>
                <w:rFonts w:hint="eastAsia" w:ascii="仿宋" w:hAnsi="仿宋" w:eastAsia="仿宋"/>
                <w:b/>
                <w:bCs/>
              </w:rPr>
            </w:pPr>
          </w:p>
        </w:tc>
        <w:tc>
          <w:tcPr>
            <w:tcW w:w="7849" w:type="dxa"/>
            <w:vAlign w:val="center"/>
          </w:tcPr>
          <w:p>
            <w:pPr>
              <w:adjustRightInd w:val="0"/>
              <w:snapToGrid w:val="0"/>
              <w:jc w:val="left"/>
              <w:rPr>
                <w:rFonts w:hint="eastAsia"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1" w:hRule="atLeast"/>
          <w:jc w:val="center"/>
        </w:trPr>
        <w:tc>
          <w:tcPr>
            <w:tcW w:w="1615" w:type="dxa"/>
            <w:vAlign w:val="center"/>
          </w:tcPr>
          <w:p>
            <w:pPr>
              <w:adjustRightInd w:val="0"/>
              <w:snapToGrid w:val="0"/>
              <w:jc w:val="center"/>
              <w:rPr>
                <w:rFonts w:hint="eastAsia" w:ascii="仿宋" w:hAnsi="仿宋" w:eastAsia="仿宋"/>
                <w:b/>
                <w:bCs/>
              </w:rPr>
            </w:pPr>
            <w:r>
              <w:rPr>
                <w:rFonts w:hint="eastAsia" w:ascii="仿宋" w:hAnsi="仿宋" w:eastAsia="仿宋"/>
                <w:b/>
                <w:bCs/>
              </w:rPr>
              <w:t>推广应用情况</w:t>
            </w:r>
          </w:p>
        </w:tc>
        <w:tc>
          <w:tcPr>
            <w:tcW w:w="7849" w:type="dxa"/>
            <w:vAlign w:val="center"/>
          </w:tcPr>
          <w:p>
            <w:pPr>
              <w:adjustRightInd w:val="0"/>
              <w:snapToGrid w:val="0"/>
              <w:ind w:firstLine="210" w:firstLineChars="100"/>
              <w:jc w:val="both"/>
              <w:rPr>
                <w:rFonts w:hint="eastAsia" w:ascii="仿宋" w:hAnsi="仿宋" w:eastAsia="仿宋"/>
              </w:rPr>
            </w:pPr>
            <w:r>
              <w:rPr>
                <w:rFonts w:hint="eastAsia" w:ascii="仿宋" w:hAnsi="仿宋" w:eastAsia="仿宋"/>
              </w:rPr>
              <w:t>昆明山海棠为雷公藤属植物，其祛风湿作用显著，但其有生殖毒性等副作用，导致其在临床上的推广应用受到限制，通过本项目昆明山海棠不同配伍治疗类风湿关节炎增效减毒的基础和应用研究的证实，昆明山海棠与益母草、续断、鸡血藤等药物的合理配伍在减轻类风湿关节炎临床症状，降低血清炎症指标，促进骨保护等方面疗效增加，在保护卵巢功能，减轻生殖毒性方面效果良好。本项目的研究成果在完成单位得到了良好的推广应用，昆明山海棠不同配伍治疗RA增效减毒的基础和应用研究其成果转化创造出较大的经济效益，形成的成熟方剂昆母汤、昆断汤、断藤益母汤及昆藤通痹合剂临床应用广泛，显著超过治疗RA中药其他同类中药处方，昆明山海棠不同配方疗效确切，副作用明显降低，拥有较强的市场竞争力，在主要完成单位广州中医药大学第一附属医院得到良好推广，2015年至2017年的年均处方金额均超过700万元，三年销售总额超过2200万元，年利润超过175万元，实现总利润超过550万元。除在第一完成单位应用外，还推广到省内多家医疗单位使用，如：中国科学院大学深圳医院、广东省阳春市中医院、增城市中医院、珠海景泰和安国医馆等，成果还通过会议及论文传播的形式影响到省外，社会反响良好，良好的治疗效果为广大患者解除疾病困扰，提高了患者生活质量，促进社会和谐，减轻社会负担，创造了良好的社会效益。</w:t>
            </w:r>
          </w:p>
        </w:tc>
      </w:tr>
    </w:tbl>
    <w:p>
      <w:pPr>
        <w:tabs>
          <w:tab w:val="left" w:pos="425"/>
        </w:tabs>
        <w:autoSpaceDE w:val="0"/>
        <w:autoSpaceDN w:val="0"/>
        <w:adjustRightInd w:val="0"/>
        <w:snapToGrid w:val="0"/>
        <w:spacing w:line="360" w:lineRule="auto"/>
        <w:jc w:val="left"/>
        <w:rPr>
          <w:rFonts w:ascii="仿宋" w:hAnsi="仿宋" w:eastAsia="仿宋"/>
          <w:sz w:val="24"/>
        </w:rPr>
        <w:sectPr>
          <w:footerReference r:id="rId3" w:type="default"/>
          <w:pgSz w:w="11906" w:h="16838"/>
          <w:pgMar w:top="1985" w:right="1134" w:bottom="1440" w:left="1701" w:header="851" w:footer="992" w:gutter="0"/>
          <w:cols w:space="720" w:num="1"/>
          <w:docGrid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fldChar w:fldCharType="begin"/>
    </w:r>
    <w:r>
      <w:rPr>
        <w:rStyle w:val="5"/>
      </w:rPr>
      <w:instrText xml:space="preserve">PAGE  </w:instrText>
    </w:r>
    <w:r>
      <w:fldChar w:fldCharType="separate"/>
    </w:r>
    <w:r>
      <w:rPr>
        <w:rStyle w:val="5"/>
      </w:rPr>
      <w:t>2</w:t>
    </w:r>
    <w:r>
      <w:fldChar w:fldCharType="end"/>
    </w:r>
  </w:p>
  <w:p>
    <w:pPr>
      <w:pStyle w:val="3"/>
      <w:jc w:val="center"/>
      <w:rPr>
        <w:rFonts w:hint="eastAsia"/>
      </w:rPr>
    </w:pPr>
    <w:r>
      <w:rPr>
        <w:rFonts w:hint="eastAsia"/>
        <w:szCs w:val="21"/>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C6A8D"/>
    <w:rsid w:val="017B32AF"/>
    <w:rsid w:val="08CA0B9E"/>
    <w:rsid w:val="0A70335E"/>
    <w:rsid w:val="10B80FAF"/>
    <w:rsid w:val="11172285"/>
    <w:rsid w:val="14BF3F42"/>
    <w:rsid w:val="155854FF"/>
    <w:rsid w:val="17CF07A3"/>
    <w:rsid w:val="1A3A32C6"/>
    <w:rsid w:val="1D772B96"/>
    <w:rsid w:val="1D7E7AEE"/>
    <w:rsid w:val="207F3389"/>
    <w:rsid w:val="316B0697"/>
    <w:rsid w:val="31EF620C"/>
    <w:rsid w:val="3AEC11B0"/>
    <w:rsid w:val="44990C85"/>
    <w:rsid w:val="44DC6A8D"/>
    <w:rsid w:val="47C75556"/>
    <w:rsid w:val="545074FF"/>
    <w:rsid w:val="600237C6"/>
    <w:rsid w:val="66FB7189"/>
    <w:rsid w:val="6D0B108C"/>
    <w:rsid w:val="72296138"/>
    <w:rsid w:val="74B54B63"/>
    <w:rsid w:val="76AF320B"/>
    <w:rsid w:val="77C27E76"/>
    <w:rsid w:val="7F00067E"/>
    <w:rsid w:val="7F5717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仿宋_GB2312" w:hAnsi="Times New Roman" w:eastAsia="仿宋_GB2312"/>
      <w:kern w:val="0"/>
      <w:sz w:val="28"/>
      <w:szCs w:val="20"/>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kern w:val="0"/>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2018-10-16T08:19:00Z</dcterms:created>
  <dc:creator>韩隆胤</dc:creator>
  <cp:lastModifiedBy>李文波</cp:lastModifiedBy>
  <dcterms:modified xsi:type="dcterms:W3CDTF">2018-11-06T07:36:41Z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